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DD75ED"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A01EA06"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67BDBB9"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8A8FF22"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650744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078A6340"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630E476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35D6C46A"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0B39E99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47C3A3A5" w14:textId="14179997" w:rsidR="00582D4C" w:rsidRPr="001D0818" w:rsidRDefault="001A59F9"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Questions</w:t>
      </w:r>
    </w:p>
    <w:p w14:paraId="3769BD98" w14:textId="77777777" w:rsidR="00582D4C" w:rsidRDefault="001A59F9"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Student’s Name:</w:t>
      </w:r>
    </w:p>
    <w:p w14:paraId="6E9B4316" w14:textId="77777777" w:rsidR="00582D4C" w:rsidRDefault="001A59F9"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Affiliation:</w:t>
      </w:r>
    </w:p>
    <w:p w14:paraId="55699F26" w14:textId="77777777" w:rsidR="001418F7" w:rsidRDefault="001A59F9"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14:paraId="500B4DE5" w14:textId="77777777" w:rsidR="001418F7" w:rsidRDefault="001A59F9"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14:paraId="5CB822E8" w14:textId="77777777" w:rsidR="001418F7" w:rsidRPr="00582D4C" w:rsidRDefault="001A59F9"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Date:</w:t>
      </w:r>
    </w:p>
    <w:p w14:paraId="1F1FFA85"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28DA8ACC"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630B7CB7"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4ABC52B2"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5BD44D1"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905CAB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2E3E7838"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2D96B67D"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4F3E293" w14:textId="27555F0B" w:rsidR="0051042D" w:rsidRDefault="001A59F9" w:rsidP="0051042D">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lastRenderedPageBreak/>
        <w:t>Questions</w:t>
      </w:r>
    </w:p>
    <w:p w14:paraId="112BED09" w14:textId="2BCF8EF5" w:rsidR="0051042D" w:rsidRDefault="001A59F9" w:rsidP="0051042D">
      <w:pPr>
        <w:shd w:val="clear" w:color="auto" w:fill="FFFFFF"/>
        <w:spacing w:after="0" w:line="480" w:lineRule="auto"/>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Question 1</w:t>
      </w:r>
    </w:p>
    <w:p w14:paraId="166B9808" w14:textId="3F664D3A" w:rsidR="007B0D29" w:rsidRDefault="001A59F9" w:rsidP="0051042D">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The decision of the courts concerning the case of Gina, a home renovator, and Bob, a woodworker, will depend</w:t>
      </w:r>
      <w:r>
        <w:rPr>
          <w:rFonts w:ascii="Times New Roman" w:eastAsia="Times New Roman" w:hAnsi="Times New Roman" w:cs="Times New Roman"/>
          <w:color w:val="333333"/>
          <w:sz w:val="24"/>
          <w:szCs w:val="24"/>
        </w:rPr>
        <w:t xml:space="preserve"> on whether Bob had a reasonable belief that he had a legal entitlement to claim the $4500 balance from the decorator. Apart from this, it will also depend on whether the goods delivered were of lesser quality or quantity than had been ordered or specified</w:t>
      </w:r>
      <w:r>
        <w:rPr>
          <w:rFonts w:ascii="Times New Roman" w:eastAsia="Times New Roman" w:hAnsi="Times New Roman" w:cs="Times New Roman"/>
          <w:color w:val="333333"/>
          <w:sz w:val="24"/>
          <w:szCs w:val="24"/>
        </w:rPr>
        <w:t xml:space="preserve"> by the contract. In this case, payment of the $4500 balance has to be withheld until the dispute is settled. These are the main issues in the case. </w:t>
      </w:r>
    </w:p>
    <w:p w14:paraId="52AD7586" w14:textId="54F6A7A7" w:rsidR="007B0D29" w:rsidRDefault="001A59F9" w:rsidP="0051042D">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FE55F3">
        <w:rPr>
          <w:rFonts w:ascii="Times New Roman" w:eastAsia="Times New Roman" w:hAnsi="Times New Roman" w:cs="Times New Roman"/>
          <w:color w:val="333333"/>
          <w:sz w:val="24"/>
          <w:szCs w:val="24"/>
        </w:rPr>
        <w:t xml:space="preserve">According to contract law, a covenant of good faith is a presumption that the available parties to a contract will deal with each other fairly, honestly, and in good faith. Further, they will not destroy the rights of each other in receiving the benefits of a contract (Kelly, 2021). This duty of good faith is also referred to as fair dealing. This law ensures that the promises of a contract are upheld. A good faith dispute can arise when a party to a contract claims the benefits of an excuse for breaching a contract (Kelly, 2021). It can also arise when a party to a contract uses specific contractual terms to refuse to perform contractual obligations. A covenant of good faith must be available in every written agreement. </w:t>
      </w:r>
      <w:r w:rsidR="008653C7">
        <w:rPr>
          <w:rFonts w:ascii="Times New Roman" w:eastAsia="Times New Roman" w:hAnsi="Times New Roman" w:cs="Times New Roman"/>
          <w:color w:val="333333"/>
          <w:sz w:val="24"/>
          <w:szCs w:val="24"/>
        </w:rPr>
        <w:t xml:space="preserve">Apart from this, the legal doctrine of accord and satisfaction discharges the obligations of a debtor (Kelly, 2021). </w:t>
      </w:r>
    </w:p>
    <w:p w14:paraId="3B32EE46" w14:textId="77777777" w:rsidR="00D16FCC" w:rsidRDefault="001A59F9" w:rsidP="0051042D">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In the case provided, Gina and Bob had a covenant of good faith</w:t>
      </w:r>
      <w:r w:rsidR="008653C7">
        <w:rPr>
          <w:rFonts w:ascii="Times New Roman" w:eastAsia="Times New Roman" w:hAnsi="Times New Roman" w:cs="Times New Roman"/>
          <w:color w:val="333333"/>
          <w:sz w:val="24"/>
          <w:szCs w:val="24"/>
        </w:rPr>
        <w:t xml:space="preserve"> that each person had to uphold. The role of Bob in the contract was to build a black oak bedroom set, similar to the one he showcased in his showroom. On the other hand, Gina was to pay $9,500 upon receiving the bedroom set. From the case, it is evident that Bob did not act in good faith. By delivering a bedroom set that was not the same as what had been showcased, Bob not only destroyed the rights of Gina, but he also prevented her from receiving the benefits of the contract. Based on </w:t>
      </w:r>
      <w:r w:rsidR="008653C7">
        <w:rPr>
          <w:rFonts w:ascii="Times New Roman" w:eastAsia="Times New Roman" w:hAnsi="Times New Roman" w:cs="Times New Roman"/>
          <w:color w:val="333333"/>
          <w:sz w:val="24"/>
          <w:szCs w:val="24"/>
        </w:rPr>
        <w:lastRenderedPageBreak/>
        <w:t xml:space="preserve">this, the covenant of good faith allows Gina to make a take-it-or-leave-it offer or to withdraw her consent to the provisions of the contract (Shonk, 2020). She made a take-it-or-leave-it offer of $5,000 as full payment for the bedroom set.  Therefore, Gina had the right to breach the contract. </w:t>
      </w:r>
    </w:p>
    <w:p w14:paraId="077D54ED" w14:textId="12004CCA" w:rsidR="00FE55F3" w:rsidRDefault="001A59F9" w:rsidP="00D16FCC">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8653C7">
        <w:rPr>
          <w:rFonts w:ascii="Times New Roman" w:eastAsia="Times New Roman" w:hAnsi="Times New Roman" w:cs="Times New Roman"/>
          <w:color w:val="333333"/>
          <w:sz w:val="24"/>
          <w:szCs w:val="24"/>
        </w:rPr>
        <w:t xml:space="preserve">In the doctrine of accord and satisfaction, Bob cashed a check that had been marked “payment in full.”  </w:t>
      </w:r>
      <w:r w:rsidR="00B66261">
        <w:rPr>
          <w:rFonts w:ascii="Times New Roman" w:eastAsia="Times New Roman" w:hAnsi="Times New Roman" w:cs="Times New Roman"/>
          <w:color w:val="333333"/>
          <w:sz w:val="24"/>
          <w:szCs w:val="24"/>
        </w:rPr>
        <w:t xml:space="preserve">The words were conspicuous and clear. </w:t>
      </w:r>
      <w:r w:rsidR="008653C7">
        <w:rPr>
          <w:rFonts w:ascii="Times New Roman" w:eastAsia="Times New Roman" w:hAnsi="Times New Roman" w:cs="Times New Roman"/>
          <w:color w:val="333333"/>
          <w:sz w:val="24"/>
          <w:szCs w:val="24"/>
        </w:rPr>
        <w:t xml:space="preserve">By sending a check that was less than the amount that had been agreed upon, </w:t>
      </w:r>
      <w:r w:rsidR="00B66261">
        <w:rPr>
          <w:rFonts w:ascii="Times New Roman" w:eastAsia="Times New Roman" w:hAnsi="Times New Roman" w:cs="Times New Roman"/>
          <w:color w:val="333333"/>
          <w:sz w:val="24"/>
          <w:szCs w:val="24"/>
        </w:rPr>
        <w:t xml:space="preserve">Gina made an offer to settle a debt of an amount different from what had been agreed upon in the contract. By cashing the check, Bob is considered to have accepted the offer, and as such, extinguishing the debt. Therefore, the courts would likely hold that Bob the woodworker’s endorsing a check so marked constituted a written release, thereby discharging the contract. </w:t>
      </w:r>
    </w:p>
    <w:p w14:paraId="308EAB57" w14:textId="0420A091" w:rsidR="00D16FCC" w:rsidRDefault="001A59F9" w:rsidP="00D16FCC">
      <w:pPr>
        <w:shd w:val="clear" w:color="auto" w:fill="FFFFFF"/>
        <w:spacing w:after="0" w:line="480" w:lineRule="auto"/>
        <w:outlineLvl w:val="3"/>
        <w:rPr>
          <w:rFonts w:ascii="Times New Roman" w:eastAsia="Times New Roman" w:hAnsi="Times New Roman" w:cs="Times New Roman"/>
          <w:b/>
          <w:bCs/>
          <w:color w:val="333333"/>
          <w:sz w:val="24"/>
          <w:szCs w:val="24"/>
        </w:rPr>
      </w:pPr>
      <w:r w:rsidRPr="00D16FCC">
        <w:rPr>
          <w:rFonts w:ascii="Times New Roman" w:eastAsia="Times New Roman" w:hAnsi="Times New Roman" w:cs="Times New Roman"/>
          <w:b/>
          <w:bCs/>
          <w:color w:val="333333"/>
          <w:sz w:val="24"/>
          <w:szCs w:val="24"/>
        </w:rPr>
        <w:t>Question 2</w:t>
      </w:r>
    </w:p>
    <w:p w14:paraId="72BC871B" w14:textId="4E7527B4" w:rsidR="00D16FCC" w:rsidRDefault="001A59F9" w:rsidP="00D16FCC">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r w:rsidR="001F49F5">
        <w:rPr>
          <w:rFonts w:ascii="Times New Roman" w:eastAsia="Times New Roman" w:hAnsi="Times New Roman" w:cs="Times New Roman"/>
          <w:color w:val="333333"/>
          <w:sz w:val="24"/>
          <w:szCs w:val="24"/>
        </w:rPr>
        <w:t xml:space="preserve">The decision of the court concerning the case of ACME Company and the Wingnut Supplier regards whether the rejection of an offer after it has been accepted is valid. It also concerns whether the application of promissory estoppel is valid in this situation. Another issue that the court has to determine is whether an offer can be rejected after it has been accepted and signed. </w:t>
      </w:r>
    </w:p>
    <w:p w14:paraId="1F2B2A20" w14:textId="0F4FA4B7" w:rsidR="00E90F00" w:rsidRPr="00B5587E" w:rsidRDefault="001A59F9" w:rsidP="001F49F5">
      <w:pPr>
        <w:shd w:val="clear" w:color="auto" w:fill="FFFFFF"/>
        <w:spacing w:after="0" w:line="480" w:lineRule="auto"/>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color w:val="333333"/>
          <w:sz w:val="24"/>
          <w:szCs w:val="24"/>
        </w:rPr>
        <w:tab/>
        <w:t xml:space="preserve">According to contractual law, an offeree has the right to reject an offer. Once an offeree rejects an offer, it cannot be </w:t>
      </w:r>
      <w:r>
        <w:rPr>
          <w:rFonts w:ascii="Times New Roman" w:eastAsia="Times New Roman" w:hAnsi="Times New Roman" w:cs="Times New Roman"/>
          <w:color w:val="333333"/>
          <w:sz w:val="24"/>
          <w:szCs w:val="24"/>
        </w:rPr>
        <w:t>accepted by an offeror (</w:t>
      </w:r>
      <w:r w:rsidR="00B5587E">
        <w:rPr>
          <w:rFonts w:ascii="Times New Roman" w:eastAsia="Times New Roman" w:hAnsi="Times New Roman" w:cs="Times New Roman"/>
          <w:color w:val="333333"/>
          <w:sz w:val="24"/>
          <w:szCs w:val="24"/>
        </w:rPr>
        <w:t>California State University, n. d.</w:t>
      </w:r>
      <w:r>
        <w:rPr>
          <w:rFonts w:ascii="Times New Roman" w:eastAsia="Times New Roman" w:hAnsi="Times New Roman" w:cs="Times New Roman"/>
          <w:color w:val="333333"/>
          <w:sz w:val="24"/>
          <w:szCs w:val="24"/>
        </w:rPr>
        <w:t xml:space="preserve">). </w:t>
      </w:r>
      <w:r w:rsidR="00B5587E">
        <w:rPr>
          <w:rFonts w:ascii="Times New Roman" w:eastAsia="Times New Roman" w:hAnsi="Times New Roman" w:cs="Times New Roman"/>
          <w:color w:val="333333"/>
          <w:sz w:val="24"/>
          <w:szCs w:val="24"/>
        </w:rPr>
        <w:t xml:space="preserve">An offeree can reject an offer through phone calls, mailing a letter, or sending emails. However, the offeror must receive notification of the rejection. </w:t>
      </w:r>
      <w:r>
        <w:rPr>
          <w:rFonts w:ascii="Times New Roman" w:eastAsia="Times New Roman" w:hAnsi="Times New Roman" w:cs="Times New Roman"/>
          <w:color w:val="333333"/>
          <w:sz w:val="24"/>
          <w:szCs w:val="24"/>
        </w:rPr>
        <w:t>Apart from this, an offeror can terminate</w:t>
      </w:r>
      <w:r>
        <w:rPr>
          <w:rFonts w:ascii="Times New Roman" w:eastAsia="Times New Roman" w:hAnsi="Times New Roman" w:cs="Times New Roman"/>
          <w:color w:val="333333"/>
          <w:sz w:val="24"/>
          <w:szCs w:val="24"/>
        </w:rPr>
        <w:t xml:space="preserve"> an offer through a valid revocation. The revocation is considered to be effective when the offeree receives it. The law indicates that even if a contract is signed, it does not imply that parties are held to the terms (</w:t>
      </w:r>
      <w:r w:rsidR="00B5587E">
        <w:rPr>
          <w:rFonts w:ascii="Times New Roman" w:eastAsia="Times New Roman" w:hAnsi="Times New Roman" w:cs="Times New Roman"/>
          <w:color w:val="333333"/>
          <w:sz w:val="24"/>
          <w:szCs w:val="24"/>
        </w:rPr>
        <w:t>California State University, n. d.</w:t>
      </w:r>
      <w:r>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 xml:space="preserve"> This implies that events that might occur </w:t>
      </w:r>
      <w:r>
        <w:rPr>
          <w:rFonts w:ascii="Times New Roman" w:eastAsia="Times New Roman" w:hAnsi="Times New Roman" w:cs="Times New Roman"/>
          <w:color w:val="333333"/>
          <w:sz w:val="24"/>
          <w:szCs w:val="24"/>
        </w:rPr>
        <w:lastRenderedPageBreak/>
        <w:t xml:space="preserve">after the signing of a contract can render it unenforceable. </w:t>
      </w:r>
      <w:r w:rsidR="009122F2" w:rsidRPr="009122F2">
        <w:rPr>
          <w:rFonts w:ascii="Times New Roman" w:eastAsia="Times New Roman" w:hAnsi="Times New Roman" w:cs="Times New Roman"/>
          <w:b/>
          <w:color w:val="000000" w:themeColor="text1"/>
          <w:sz w:val="24"/>
          <w:szCs w:val="24"/>
        </w:rPr>
        <w:t xml:space="preserve"> </w:t>
      </w:r>
      <w:r w:rsidR="00B5587E">
        <w:rPr>
          <w:rFonts w:ascii="Times New Roman" w:eastAsia="Times New Roman" w:hAnsi="Times New Roman" w:cs="Times New Roman"/>
          <w:bCs/>
          <w:color w:val="000000" w:themeColor="text1"/>
          <w:sz w:val="24"/>
          <w:szCs w:val="24"/>
        </w:rPr>
        <w:t>The law also indicates that promissory estoppel only applies when a promise suffers a loss due to the non-performance of a contract.</w:t>
      </w:r>
      <w:r w:rsidR="00BF6FE1">
        <w:rPr>
          <w:rFonts w:ascii="Times New Roman" w:eastAsia="Times New Roman" w:hAnsi="Times New Roman" w:cs="Times New Roman"/>
          <w:bCs/>
          <w:color w:val="000000" w:themeColor="text1"/>
          <w:sz w:val="24"/>
          <w:szCs w:val="24"/>
        </w:rPr>
        <w:t xml:space="preserve">                                                                                                 </w:t>
      </w:r>
    </w:p>
    <w:p w14:paraId="0C5581A1" w14:textId="3FFC4F33" w:rsidR="00E90F00" w:rsidRDefault="001A59F9" w:rsidP="002F2A3B">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t xml:space="preserve">In the case of ACME Company and the Wingnuts Supplier, the offeree (ACME Company) had the right to </w:t>
      </w:r>
      <w:r w:rsidR="00232833">
        <w:rPr>
          <w:rFonts w:ascii="Times New Roman" w:eastAsia="Times New Roman" w:hAnsi="Times New Roman" w:cs="Times New Roman"/>
          <w:bCs/>
          <w:color w:val="000000" w:themeColor="text1"/>
          <w:sz w:val="24"/>
          <w:szCs w:val="24"/>
        </w:rPr>
        <w:t>terminating</w:t>
      </w:r>
      <w:r>
        <w:rPr>
          <w:rFonts w:ascii="Times New Roman" w:eastAsia="Times New Roman" w:hAnsi="Times New Roman" w:cs="Times New Roman"/>
          <w:bCs/>
          <w:color w:val="000000" w:themeColor="text1"/>
          <w:sz w:val="24"/>
          <w:szCs w:val="24"/>
        </w:rPr>
        <w:t xml:space="preserve"> the offer. There was no stipulated timeline for rejecting the off</w:t>
      </w:r>
      <w:r>
        <w:rPr>
          <w:rFonts w:ascii="Times New Roman" w:eastAsia="Times New Roman" w:hAnsi="Times New Roman" w:cs="Times New Roman"/>
          <w:bCs/>
          <w:color w:val="000000" w:themeColor="text1"/>
          <w:sz w:val="24"/>
          <w:szCs w:val="24"/>
        </w:rPr>
        <w:t>er, and as such, the offeree</w:t>
      </w:r>
      <w:r w:rsidR="005A3A1B">
        <w:rPr>
          <w:rFonts w:ascii="Times New Roman" w:eastAsia="Times New Roman" w:hAnsi="Times New Roman" w:cs="Times New Roman"/>
          <w:bCs/>
          <w:color w:val="000000" w:themeColor="text1"/>
          <w:sz w:val="24"/>
          <w:szCs w:val="24"/>
        </w:rPr>
        <w:t xml:space="preserve"> (ACME Company)</w:t>
      </w:r>
      <w:r w:rsidR="00232833">
        <w:rPr>
          <w:rFonts w:ascii="Times New Roman" w:eastAsia="Times New Roman" w:hAnsi="Times New Roman" w:cs="Times New Roman"/>
          <w:bCs/>
          <w:color w:val="000000" w:themeColor="text1"/>
          <w:sz w:val="24"/>
          <w:szCs w:val="24"/>
        </w:rPr>
        <w:t xml:space="preserve">, cannot be held liable for terminating the offer. Further, ACME Company communicated to the Wingnuts Supplier about the decision to terminate the offer. The communication was done via telephone. The offeror (wingnuts supplier) received the notification of the rejection and acknowledged it. This implies that the offeror considered the contract invalid. The offeror told the offeree that they can do business some other time. This is what is considered to be valid revocation. </w:t>
      </w:r>
    </w:p>
    <w:p w14:paraId="4D771E56" w14:textId="60095C09" w:rsidR="00232833" w:rsidRDefault="001A59F9" w:rsidP="002F2A3B">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t>The Wingnuts supplier could appl</w:t>
      </w:r>
      <w:r>
        <w:rPr>
          <w:rFonts w:ascii="Times New Roman" w:eastAsia="Times New Roman" w:hAnsi="Times New Roman" w:cs="Times New Roman"/>
          <w:bCs/>
          <w:color w:val="000000" w:themeColor="text1"/>
          <w:sz w:val="24"/>
          <w:szCs w:val="24"/>
        </w:rPr>
        <w:t>y the law related to promissory estoppel. However, the law of promissory estoppel only applies when an aggrieved party is trying to recover damages from the other party. In the case of ACME Company and Wingnuts Supplier, there were no damages to be recover</w:t>
      </w:r>
      <w:r>
        <w:rPr>
          <w:rFonts w:ascii="Times New Roman" w:eastAsia="Times New Roman" w:hAnsi="Times New Roman" w:cs="Times New Roman"/>
          <w:bCs/>
          <w:color w:val="000000" w:themeColor="text1"/>
          <w:sz w:val="24"/>
          <w:szCs w:val="24"/>
        </w:rPr>
        <w:t>ed. ACME Company terminated the contract even before it had been received by the wingnuts supplier. Apart from this, the</w:t>
      </w:r>
      <w:r w:rsidR="008F1B6E">
        <w:rPr>
          <w:rFonts w:ascii="Times New Roman" w:eastAsia="Times New Roman" w:hAnsi="Times New Roman" w:cs="Times New Roman"/>
          <w:bCs/>
          <w:color w:val="000000" w:themeColor="text1"/>
          <w:sz w:val="24"/>
          <w:szCs w:val="24"/>
        </w:rPr>
        <w:t xml:space="preserve"> Wingnuts Supplier received notification of the termination. Therefore, ACME Company did not cause any damages. Based on these arguments, the contract is unenforceable against ACME Company because the offer to rescind was accepted and that discharged the original contract. </w:t>
      </w:r>
    </w:p>
    <w:p w14:paraId="621C9E6F" w14:textId="7EF6E801" w:rsidR="008F1B6E" w:rsidRDefault="008F1B6E" w:rsidP="002F2A3B">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612F6CD7" w14:textId="736F6552" w:rsidR="008F1B6E" w:rsidRDefault="008F1B6E" w:rsidP="002F2A3B">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138EE63D" w14:textId="6C2377EB" w:rsidR="008F1B6E" w:rsidRDefault="008F1B6E" w:rsidP="002F2A3B">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78A4E639" w14:textId="69210D5E" w:rsidR="008F1B6E" w:rsidRDefault="008F1B6E" w:rsidP="002F2A3B">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340AC84F" w14:textId="7D17A9E7" w:rsidR="008F1B6E" w:rsidRDefault="001A59F9" w:rsidP="008F1B6E">
      <w:pPr>
        <w:shd w:val="clear" w:color="auto" w:fill="FFFFFF"/>
        <w:spacing w:after="0" w:line="480" w:lineRule="auto"/>
        <w:jc w:val="center"/>
        <w:outlineLvl w:val="3"/>
        <w:rPr>
          <w:rFonts w:ascii="Times New Roman" w:eastAsia="Times New Roman" w:hAnsi="Times New Roman" w:cs="Times New Roman"/>
          <w:b/>
          <w:color w:val="000000" w:themeColor="text1"/>
          <w:sz w:val="24"/>
          <w:szCs w:val="24"/>
        </w:rPr>
      </w:pPr>
      <w:r w:rsidRPr="008F1B6E">
        <w:rPr>
          <w:rFonts w:ascii="Times New Roman" w:eastAsia="Times New Roman" w:hAnsi="Times New Roman" w:cs="Times New Roman"/>
          <w:b/>
          <w:color w:val="000000" w:themeColor="text1"/>
          <w:sz w:val="24"/>
          <w:szCs w:val="24"/>
        </w:rPr>
        <w:lastRenderedPageBreak/>
        <w:t>References</w:t>
      </w:r>
    </w:p>
    <w:p w14:paraId="6704C485" w14:textId="6DC7A2A4" w:rsidR="008F1B6E" w:rsidRDefault="001A59F9" w:rsidP="008F1B6E">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California State University (n. d.). Understanding the roles of offer and acceptance in the </w:t>
      </w:r>
    </w:p>
    <w:p w14:paraId="1EB75725" w14:textId="0B467A9C" w:rsidR="008F1B6E" w:rsidRDefault="001A59F9" w:rsidP="008F1B6E">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t xml:space="preserve">formation of a contract. </w:t>
      </w:r>
      <w:r w:rsidRPr="008F1B6E">
        <w:rPr>
          <w:rFonts w:ascii="Times New Roman" w:eastAsia="Times New Roman" w:hAnsi="Times New Roman" w:cs="Times New Roman"/>
          <w:bCs/>
          <w:color w:val="000000" w:themeColor="text1"/>
          <w:sz w:val="24"/>
          <w:szCs w:val="24"/>
        </w:rPr>
        <w:t>https://www.csun.edu/sites/default/files/blawaccept.pdf</w:t>
      </w:r>
    </w:p>
    <w:p w14:paraId="0FDDF1BD" w14:textId="7B64D9CF" w:rsidR="008F1B6E" w:rsidRDefault="001A59F9" w:rsidP="008F1B6E">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Kelly, C. P. (2021). What you should know about the implied duty of good faith an</w:t>
      </w:r>
      <w:r>
        <w:rPr>
          <w:rFonts w:ascii="Times New Roman" w:eastAsia="Times New Roman" w:hAnsi="Times New Roman" w:cs="Times New Roman"/>
          <w:bCs/>
          <w:color w:val="000000" w:themeColor="text1"/>
          <w:sz w:val="24"/>
          <w:szCs w:val="24"/>
        </w:rPr>
        <w:t xml:space="preserve">d fair dealing. </w:t>
      </w:r>
    </w:p>
    <w:p w14:paraId="4328B801" w14:textId="14C90569" w:rsidR="008F1B6E" w:rsidRDefault="001A59F9" w:rsidP="008F1B6E">
      <w:pPr>
        <w:shd w:val="clear" w:color="auto" w:fill="FFFFFF"/>
        <w:spacing w:after="0" w:line="480" w:lineRule="auto"/>
        <w:ind w:left="720"/>
        <w:outlineLvl w:val="3"/>
        <w:rPr>
          <w:rFonts w:ascii="Times New Roman" w:eastAsia="Times New Roman" w:hAnsi="Times New Roman" w:cs="Times New Roman"/>
          <w:bCs/>
          <w:color w:val="000000" w:themeColor="text1"/>
          <w:sz w:val="24"/>
          <w:szCs w:val="24"/>
        </w:rPr>
      </w:pPr>
      <w:r w:rsidRPr="008F1B6E">
        <w:rPr>
          <w:rFonts w:ascii="Times New Roman" w:eastAsia="Times New Roman" w:hAnsi="Times New Roman" w:cs="Times New Roman"/>
          <w:bCs/>
          <w:i/>
          <w:iCs/>
          <w:color w:val="000000" w:themeColor="text1"/>
          <w:sz w:val="24"/>
          <w:szCs w:val="24"/>
        </w:rPr>
        <w:t>American Bar Association</w:t>
      </w:r>
      <w:r>
        <w:rPr>
          <w:rFonts w:ascii="Times New Roman" w:eastAsia="Times New Roman" w:hAnsi="Times New Roman" w:cs="Times New Roman"/>
          <w:bCs/>
          <w:color w:val="000000" w:themeColor="text1"/>
          <w:sz w:val="24"/>
          <w:szCs w:val="24"/>
        </w:rPr>
        <w:t xml:space="preserve">. </w:t>
      </w:r>
      <w:r w:rsidRPr="008F1B6E">
        <w:rPr>
          <w:rFonts w:ascii="Times New Roman" w:eastAsia="Times New Roman" w:hAnsi="Times New Roman" w:cs="Times New Roman"/>
          <w:bCs/>
          <w:color w:val="000000" w:themeColor="text1"/>
          <w:sz w:val="24"/>
          <w:szCs w:val="24"/>
        </w:rPr>
        <w:t>https://www.americanbar.org/groups/litigation/committees/business-torts-unfair-competition/practice/2016/duty-of-good-faith-fair-dealing/</w:t>
      </w:r>
    </w:p>
    <w:p w14:paraId="7EE13B12" w14:textId="19C1DCC3" w:rsidR="008F1B6E" w:rsidRDefault="001A59F9" w:rsidP="008F1B6E">
      <w:pPr>
        <w:shd w:val="clear" w:color="auto" w:fill="FFFFFF"/>
        <w:spacing w:after="0" w:line="480" w:lineRule="auto"/>
        <w:outlineLvl w:val="3"/>
        <w:rPr>
          <w:rFonts w:ascii="Times New Roman" w:eastAsia="Times New Roman" w:hAnsi="Times New Roman" w:cs="Times New Roman"/>
          <w:sz w:val="24"/>
          <w:szCs w:val="24"/>
        </w:rPr>
      </w:pPr>
      <w:r>
        <w:rPr>
          <w:rFonts w:ascii="Times New Roman" w:eastAsia="Times New Roman" w:hAnsi="Times New Roman" w:cs="Times New Roman"/>
          <w:bCs/>
          <w:color w:val="000000" w:themeColor="text1"/>
          <w:sz w:val="24"/>
          <w:szCs w:val="24"/>
        </w:rPr>
        <w:t>Shonk, K.</w:t>
      </w:r>
      <w:r>
        <w:rPr>
          <w:rFonts w:ascii="Times New Roman" w:eastAsia="Times New Roman" w:hAnsi="Times New Roman" w:cs="Times New Roman"/>
          <w:sz w:val="24"/>
          <w:szCs w:val="24"/>
        </w:rPr>
        <w:t xml:space="preserve"> (2020). How to negotiate in good faith. </w:t>
      </w:r>
      <w:r w:rsidRPr="008F1B6E">
        <w:rPr>
          <w:rFonts w:ascii="Times New Roman" w:eastAsia="Times New Roman" w:hAnsi="Times New Roman" w:cs="Times New Roman"/>
          <w:i/>
          <w:iCs/>
          <w:sz w:val="24"/>
          <w:szCs w:val="24"/>
        </w:rPr>
        <w:t>Harvard Law School</w:t>
      </w:r>
      <w:r>
        <w:rPr>
          <w:rFonts w:ascii="Times New Roman" w:eastAsia="Times New Roman" w:hAnsi="Times New Roman" w:cs="Times New Roman"/>
          <w:sz w:val="24"/>
          <w:szCs w:val="24"/>
        </w:rPr>
        <w:t xml:space="preserve">. </w:t>
      </w:r>
    </w:p>
    <w:p w14:paraId="3D3EF40A" w14:textId="77BBD199" w:rsidR="008F1B6E" w:rsidRPr="008F1B6E" w:rsidRDefault="001A59F9" w:rsidP="008F1B6E">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sz w:val="24"/>
          <w:szCs w:val="24"/>
        </w:rPr>
        <w:tab/>
      </w:r>
      <w:r w:rsidRPr="008F1B6E">
        <w:rPr>
          <w:rFonts w:ascii="Times New Roman" w:eastAsia="Times New Roman" w:hAnsi="Times New Roman" w:cs="Times New Roman"/>
          <w:sz w:val="24"/>
          <w:szCs w:val="24"/>
        </w:rPr>
        <w:t>https://www.pon.harvard.edu/daily/busin</w:t>
      </w:r>
      <w:bookmarkStart w:id="0" w:name="_GoBack"/>
      <w:bookmarkEnd w:id="0"/>
      <w:r w:rsidRPr="008F1B6E">
        <w:rPr>
          <w:rFonts w:ascii="Times New Roman" w:eastAsia="Times New Roman" w:hAnsi="Times New Roman" w:cs="Times New Roman"/>
          <w:sz w:val="24"/>
          <w:szCs w:val="24"/>
        </w:rPr>
        <w:t>ess-neg</w:t>
      </w:r>
      <w:r w:rsidRPr="008F1B6E">
        <w:rPr>
          <w:rFonts w:ascii="Times New Roman" w:eastAsia="Times New Roman" w:hAnsi="Times New Roman" w:cs="Times New Roman"/>
          <w:sz w:val="24"/>
          <w:szCs w:val="24"/>
        </w:rPr>
        <w:t>otiations/negotiate-good-faith/</w:t>
      </w:r>
    </w:p>
    <w:sectPr w:rsidR="008F1B6E" w:rsidRPr="008F1B6E" w:rsidSect="00582D4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4E63FB" w14:textId="77777777" w:rsidR="001A59F9" w:rsidRDefault="001A59F9">
      <w:pPr>
        <w:spacing w:after="0" w:line="240" w:lineRule="auto"/>
      </w:pPr>
      <w:r>
        <w:separator/>
      </w:r>
    </w:p>
  </w:endnote>
  <w:endnote w:type="continuationSeparator" w:id="0">
    <w:p w14:paraId="7BEF1683" w14:textId="77777777" w:rsidR="001A59F9" w:rsidRDefault="001A5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AD9E7D" w14:textId="77777777" w:rsidR="001A59F9" w:rsidRDefault="001A59F9">
      <w:pPr>
        <w:spacing w:after="0" w:line="240" w:lineRule="auto"/>
      </w:pPr>
      <w:r>
        <w:separator/>
      </w:r>
    </w:p>
  </w:footnote>
  <w:footnote w:type="continuationSeparator" w:id="0">
    <w:p w14:paraId="56DA3067" w14:textId="77777777" w:rsidR="001A59F9" w:rsidRDefault="001A59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78867" w14:textId="77777777" w:rsidR="00EF6258" w:rsidRPr="00582D4C" w:rsidRDefault="001A59F9">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A77E3D">
          <w:rPr>
            <w:rFonts w:ascii="Times New Roman" w:hAnsi="Times New Roman" w:cs="Times New Roman"/>
            <w:noProof/>
            <w:sz w:val="24"/>
            <w:szCs w:val="24"/>
          </w:rPr>
          <w:t>5</w:t>
        </w:r>
        <w:r w:rsidRPr="00582D4C">
          <w:rPr>
            <w:rFonts w:ascii="Times New Roman" w:hAnsi="Times New Roman" w:cs="Times New Roman"/>
            <w:sz w:val="24"/>
            <w:szCs w:val="24"/>
          </w:rPr>
          <w:fldChar w:fldCharType="end"/>
        </w:r>
      </w:sdtContent>
    </w:sdt>
  </w:p>
  <w:p w14:paraId="3978A079" w14:textId="77777777" w:rsidR="00EF6258" w:rsidRPr="00582D4C" w:rsidRDefault="00EF625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6CC30" w14:textId="77777777" w:rsidR="00EF6258" w:rsidRPr="00582D4C" w:rsidRDefault="001A59F9">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B14B26">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14:paraId="0EA41479" w14:textId="77777777" w:rsidR="00EF6258" w:rsidRPr="00582D4C" w:rsidRDefault="00EF625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54CE1"/>
    <w:multiLevelType w:val="hybridMultilevel"/>
    <w:tmpl w:val="175EC6DC"/>
    <w:lvl w:ilvl="0" w:tplc="E45C1CB0">
      <w:start w:val="1"/>
      <w:numFmt w:val="bullet"/>
      <w:lvlText w:val=""/>
      <w:lvlJc w:val="left"/>
      <w:pPr>
        <w:ind w:left="720" w:hanging="360"/>
      </w:pPr>
      <w:rPr>
        <w:rFonts w:ascii="Wingdings" w:hAnsi="Wingdings" w:hint="default"/>
      </w:rPr>
    </w:lvl>
    <w:lvl w:ilvl="1" w:tplc="E4726404" w:tentative="1">
      <w:start w:val="1"/>
      <w:numFmt w:val="bullet"/>
      <w:lvlText w:val="o"/>
      <w:lvlJc w:val="left"/>
      <w:pPr>
        <w:ind w:left="1440" w:hanging="360"/>
      </w:pPr>
      <w:rPr>
        <w:rFonts w:ascii="Courier New" w:hAnsi="Courier New" w:cs="Courier New" w:hint="default"/>
      </w:rPr>
    </w:lvl>
    <w:lvl w:ilvl="2" w:tplc="866678F2" w:tentative="1">
      <w:start w:val="1"/>
      <w:numFmt w:val="bullet"/>
      <w:lvlText w:val=""/>
      <w:lvlJc w:val="left"/>
      <w:pPr>
        <w:ind w:left="2160" w:hanging="360"/>
      </w:pPr>
      <w:rPr>
        <w:rFonts w:ascii="Wingdings" w:hAnsi="Wingdings" w:hint="default"/>
      </w:rPr>
    </w:lvl>
    <w:lvl w:ilvl="3" w:tplc="41360166" w:tentative="1">
      <w:start w:val="1"/>
      <w:numFmt w:val="bullet"/>
      <w:lvlText w:val=""/>
      <w:lvlJc w:val="left"/>
      <w:pPr>
        <w:ind w:left="2880" w:hanging="360"/>
      </w:pPr>
      <w:rPr>
        <w:rFonts w:ascii="Symbol" w:hAnsi="Symbol" w:hint="default"/>
      </w:rPr>
    </w:lvl>
    <w:lvl w:ilvl="4" w:tplc="E4F8922E" w:tentative="1">
      <w:start w:val="1"/>
      <w:numFmt w:val="bullet"/>
      <w:lvlText w:val="o"/>
      <w:lvlJc w:val="left"/>
      <w:pPr>
        <w:ind w:left="3600" w:hanging="360"/>
      </w:pPr>
      <w:rPr>
        <w:rFonts w:ascii="Courier New" w:hAnsi="Courier New" w:cs="Courier New" w:hint="default"/>
      </w:rPr>
    </w:lvl>
    <w:lvl w:ilvl="5" w:tplc="7758FD54" w:tentative="1">
      <w:start w:val="1"/>
      <w:numFmt w:val="bullet"/>
      <w:lvlText w:val=""/>
      <w:lvlJc w:val="left"/>
      <w:pPr>
        <w:ind w:left="4320" w:hanging="360"/>
      </w:pPr>
      <w:rPr>
        <w:rFonts w:ascii="Wingdings" w:hAnsi="Wingdings" w:hint="default"/>
      </w:rPr>
    </w:lvl>
    <w:lvl w:ilvl="6" w:tplc="0BC295EE" w:tentative="1">
      <w:start w:val="1"/>
      <w:numFmt w:val="bullet"/>
      <w:lvlText w:val=""/>
      <w:lvlJc w:val="left"/>
      <w:pPr>
        <w:ind w:left="5040" w:hanging="360"/>
      </w:pPr>
      <w:rPr>
        <w:rFonts w:ascii="Symbol" w:hAnsi="Symbol" w:hint="default"/>
      </w:rPr>
    </w:lvl>
    <w:lvl w:ilvl="7" w:tplc="3D1CB8E0" w:tentative="1">
      <w:start w:val="1"/>
      <w:numFmt w:val="bullet"/>
      <w:lvlText w:val="o"/>
      <w:lvlJc w:val="left"/>
      <w:pPr>
        <w:ind w:left="5760" w:hanging="360"/>
      </w:pPr>
      <w:rPr>
        <w:rFonts w:ascii="Courier New" w:hAnsi="Courier New" w:cs="Courier New" w:hint="default"/>
      </w:rPr>
    </w:lvl>
    <w:lvl w:ilvl="8" w:tplc="F0D6FB32" w:tentative="1">
      <w:start w:val="1"/>
      <w:numFmt w:val="bullet"/>
      <w:lvlText w:val=""/>
      <w:lvlJc w:val="left"/>
      <w:pPr>
        <w:ind w:left="6480" w:hanging="360"/>
      </w:pPr>
      <w:rPr>
        <w:rFonts w:ascii="Wingdings" w:hAnsi="Wingdings" w:hint="default"/>
      </w:rPr>
    </w:lvl>
  </w:abstractNum>
  <w:abstractNum w:abstractNumId="1" w15:restartNumberingAfterBreak="0">
    <w:nsid w:val="53163248"/>
    <w:multiLevelType w:val="hybridMultilevel"/>
    <w:tmpl w:val="533C8092"/>
    <w:lvl w:ilvl="0" w:tplc="4748E8E2">
      <w:start w:val="1"/>
      <w:numFmt w:val="lowerRoman"/>
      <w:lvlText w:val="%1."/>
      <w:lvlJc w:val="right"/>
      <w:pPr>
        <w:ind w:left="720" w:hanging="360"/>
      </w:pPr>
    </w:lvl>
    <w:lvl w:ilvl="1" w:tplc="CB16BF3A" w:tentative="1">
      <w:start w:val="1"/>
      <w:numFmt w:val="lowerLetter"/>
      <w:lvlText w:val="%2."/>
      <w:lvlJc w:val="left"/>
      <w:pPr>
        <w:ind w:left="1440" w:hanging="360"/>
      </w:pPr>
    </w:lvl>
    <w:lvl w:ilvl="2" w:tplc="8B56E16A" w:tentative="1">
      <w:start w:val="1"/>
      <w:numFmt w:val="lowerRoman"/>
      <w:lvlText w:val="%3."/>
      <w:lvlJc w:val="right"/>
      <w:pPr>
        <w:ind w:left="2160" w:hanging="180"/>
      </w:pPr>
    </w:lvl>
    <w:lvl w:ilvl="3" w:tplc="277ABF70" w:tentative="1">
      <w:start w:val="1"/>
      <w:numFmt w:val="decimal"/>
      <w:lvlText w:val="%4."/>
      <w:lvlJc w:val="left"/>
      <w:pPr>
        <w:ind w:left="2880" w:hanging="360"/>
      </w:pPr>
    </w:lvl>
    <w:lvl w:ilvl="4" w:tplc="9E36F8AA" w:tentative="1">
      <w:start w:val="1"/>
      <w:numFmt w:val="lowerLetter"/>
      <w:lvlText w:val="%5."/>
      <w:lvlJc w:val="left"/>
      <w:pPr>
        <w:ind w:left="3600" w:hanging="360"/>
      </w:pPr>
    </w:lvl>
    <w:lvl w:ilvl="5" w:tplc="2E9697F0" w:tentative="1">
      <w:start w:val="1"/>
      <w:numFmt w:val="lowerRoman"/>
      <w:lvlText w:val="%6."/>
      <w:lvlJc w:val="right"/>
      <w:pPr>
        <w:ind w:left="4320" w:hanging="180"/>
      </w:pPr>
    </w:lvl>
    <w:lvl w:ilvl="6" w:tplc="695C7484" w:tentative="1">
      <w:start w:val="1"/>
      <w:numFmt w:val="decimal"/>
      <w:lvlText w:val="%7."/>
      <w:lvlJc w:val="left"/>
      <w:pPr>
        <w:ind w:left="5040" w:hanging="360"/>
      </w:pPr>
    </w:lvl>
    <w:lvl w:ilvl="7" w:tplc="6AAA92C6" w:tentative="1">
      <w:start w:val="1"/>
      <w:numFmt w:val="lowerLetter"/>
      <w:lvlText w:val="%8."/>
      <w:lvlJc w:val="left"/>
      <w:pPr>
        <w:ind w:left="5760" w:hanging="360"/>
      </w:pPr>
    </w:lvl>
    <w:lvl w:ilvl="8" w:tplc="57FCCB4C" w:tentative="1">
      <w:start w:val="1"/>
      <w:numFmt w:val="lowerRoman"/>
      <w:lvlText w:val="%9."/>
      <w:lvlJc w:val="right"/>
      <w:pPr>
        <w:ind w:left="6480" w:hanging="180"/>
      </w:pPr>
    </w:lvl>
  </w:abstractNum>
  <w:abstractNum w:abstractNumId="2"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B8"/>
    <w:rsid w:val="00005D97"/>
    <w:rsid w:val="0000720B"/>
    <w:rsid w:val="000147A5"/>
    <w:rsid w:val="00016E1C"/>
    <w:rsid w:val="000207E7"/>
    <w:rsid w:val="00021D0B"/>
    <w:rsid w:val="00025E16"/>
    <w:rsid w:val="000327D4"/>
    <w:rsid w:val="000333CC"/>
    <w:rsid w:val="00036421"/>
    <w:rsid w:val="00036CD2"/>
    <w:rsid w:val="00042F28"/>
    <w:rsid w:val="00043DE1"/>
    <w:rsid w:val="0005359B"/>
    <w:rsid w:val="0005745F"/>
    <w:rsid w:val="00065829"/>
    <w:rsid w:val="00067B70"/>
    <w:rsid w:val="00071C0A"/>
    <w:rsid w:val="00071EC4"/>
    <w:rsid w:val="00081D1E"/>
    <w:rsid w:val="00087140"/>
    <w:rsid w:val="00090C33"/>
    <w:rsid w:val="00093ED1"/>
    <w:rsid w:val="00094CE4"/>
    <w:rsid w:val="000A3637"/>
    <w:rsid w:val="000B57BE"/>
    <w:rsid w:val="000C7E7A"/>
    <w:rsid w:val="000E36C4"/>
    <w:rsid w:val="000E4CD5"/>
    <w:rsid w:val="000E5AA5"/>
    <w:rsid w:val="000F0C7E"/>
    <w:rsid w:val="000F3FEF"/>
    <w:rsid w:val="00101327"/>
    <w:rsid w:val="00105EB1"/>
    <w:rsid w:val="0011318A"/>
    <w:rsid w:val="00116B05"/>
    <w:rsid w:val="00117782"/>
    <w:rsid w:val="00123320"/>
    <w:rsid w:val="001354A0"/>
    <w:rsid w:val="001418F7"/>
    <w:rsid w:val="00141E30"/>
    <w:rsid w:val="00146589"/>
    <w:rsid w:val="00163941"/>
    <w:rsid w:val="0016524D"/>
    <w:rsid w:val="00165DD8"/>
    <w:rsid w:val="0017531A"/>
    <w:rsid w:val="00181D0F"/>
    <w:rsid w:val="001822BB"/>
    <w:rsid w:val="001A0E54"/>
    <w:rsid w:val="001A59F9"/>
    <w:rsid w:val="001B0C91"/>
    <w:rsid w:val="001B171B"/>
    <w:rsid w:val="001B7815"/>
    <w:rsid w:val="001C344A"/>
    <w:rsid w:val="001C4D97"/>
    <w:rsid w:val="001C4E7B"/>
    <w:rsid w:val="001D0818"/>
    <w:rsid w:val="001D291B"/>
    <w:rsid w:val="001D3FAD"/>
    <w:rsid w:val="001F2E49"/>
    <w:rsid w:val="001F35D6"/>
    <w:rsid w:val="001F4091"/>
    <w:rsid w:val="001F49F5"/>
    <w:rsid w:val="001F6F5B"/>
    <w:rsid w:val="002025BE"/>
    <w:rsid w:val="0020583F"/>
    <w:rsid w:val="00207DE8"/>
    <w:rsid w:val="00210E32"/>
    <w:rsid w:val="00213897"/>
    <w:rsid w:val="00224F08"/>
    <w:rsid w:val="00225E97"/>
    <w:rsid w:val="00232833"/>
    <w:rsid w:val="00243F1A"/>
    <w:rsid w:val="002456FD"/>
    <w:rsid w:val="00247C80"/>
    <w:rsid w:val="00250DC8"/>
    <w:rsid w:val="002546FF"/>
    <w:rsid w:val="00262E0D"/>
    <w:rsid w:val="00263036"/>
    <w:rsid w:val="002656AC"/>
    <w:rsid w:val="0027081A"/>
    <w:rsid w:val="00271569"/>
    <w:rsid w:val="0027646A"/>
    <w:rsid w:val="00291606"/>
    <w:rsid w:val="00294AC5"/>
    <w:rsid w:val="002A1258"/>
    <w:rsid w:val="002A484E"/>
    <w:rsid w:val="002B295D"/>
    <w:rsid w:val="002B380A"/>
    <w:rsid w:val="002B484E"/>
    <w:rsid w:val="002B72FB"/>
    <w:rsid w:val="002C2CC6"/>
    <w:rsid w:val="002C7D28"/>
    <w:rsid w:val="002D0440"/>
    <w:rsid w:val="002D3C6C"/>
    <w:rsid w:val="002D3F37"/>
    <w:rsid w:val="002D42D3"/>
    <w:rsid w:val="002E0FC6"/>
    <w:rsid w:val="002F073E"/>
    <w:rsid w:val="002F0DEE"/>
    <w:rsid w:val="002F2A3B"/>
    <w:rsid w:val="002F2B7C"/>
    <w:rsid w:val="002F5AE2"/>
    <w:rsid w:val="0030220A"/>
    <w:rsid w:val="00303254"/>
    <w:rsid w:val="00306428"/>
    <w:rsid w:val="00317649"/>
    <w:rsid w:val="003210B4"/>
    <w:rsid w:val="003230DF"/>
    <w:rsid w:val="003359D4"/>
    <w:rsid w:val="003438CD"/>
    <w:rsid w:val="00345595"/>
    <w:rsid w:val="00345A2B"/>
    <w:rsid w:val="0034778E"/>
    <w:rsid w:val="00351562"/>
    <w:rsid w:val="00353CC9"/>
    <w:rsid w:val="003565AA"/>
    <w:rsid w:val="00357AA9"/>
    <w:rsid w:val="00362133"/>
    <w:rsid w:val="003642EE"/>
    <w:rsid w:val="003653A6"/>
    <w:rsid w:val="00366E88"/>
    <w:rsid w:val="00371A81"/>
    <w:rsid w:val="00371B7B"/>
    <w:rsid w:val="00380670"/>
    <w:rsid w:val="00385005"/>
    <w:rsid w:val="00392F35"/>
    <w:rsid w:val="003A2BD3"/>
    <w:rsid w:val="003A4DB5"/>
    <w:rsid w:val="003B03B4"/>
    <w:rsid w:val="003B750A"/>
    <w:rsid w:val="003C3EA2"/>
    <w:rsid w:val="003D1720"/>
    <w:rsid w:val="003E07E5"/>
    <w:rsid w:val="003F077D"/>
    <w:rsid w:val="003F1C8B"/>
    <w:rsid w:val="003F1F3A"/>
    <w:rsid w:val="003F3AFA"/>
    <w:rsid w:val="003F60F1"/>
    <w:rsid w:val="003F695E"/>
    <w:rsid w:val="00400B2E"/>
    <w:rsid w:val="0040126F"/>
    <w:rsid w:val="00406BCC"/>
    <w:rsid w:val="004248B3"/>
    <w:rsid w:val="00426D5E"/>
    <w:rsid w:val="00437142"/>
    <w:rsid w:val="004427A3"/>
    <w:rsid w:val="004431E2"/>
    <w:rsid w:val="00444921"/>
    <w:rsid w:val="0045217E"/>
    <w:rsid w:val="004647ED"/>
    <w:rsid w:val="0046584E"/>
    <w:rsid w:val="0047316E"/>
    <w:rsid w:val="0048005D"/>
    <w:rsid w:val="004826E0"/>
    <w:rsid w:val="004854B4"/>
    <w:rsid w:val="00490AB7"/>
    <w:rsid w:val="004A0B82"/>
    <w:rsid w:val="004A1DBA"/>
    <w:rsid w:val="004A6D85"/>
    <w:rsid w:val="004B4E15"/>
    <w:rsid w:val="004C07F4"/>
    <w:rsid w:val="004C2A4B"/>
    <w:rsid w:val="004C53F3"/>
    <w:rsid w:val="004D0ADA"/>
    <w:rsid w:val="004D34DB"/>
    <w:rsid w:val="004D35FF"/>
    <w:rsid w:val="004E1FDA"/>
    <w:rsid w:val="004E2296"/>
    <w:rsid w:val="004E41A6"/>
    <w:rsid w:val="004F234D"/>
    <w:rsid w:val="004F2380"/>
    <w:rsid w:val="004F6E1D"/>
    <w:rsid w:val="005046E6"/>
    <w:rsid w:val="0051042D"/>
    <w:rsid w:val="00522741"/>
    <w:rsid w:val="00527BCF"/>
    <w:rsid w:val="005318DA"/>
    <w:rsid w:val="0054062B"/>
    <w:rsid w:val="00546DC2"/>
    <w:rsid w:val="0054740B"/>
    <w:rsid w:val="005510CA"/>
    <w:rsid w:val="005524B4"/>
    <w:rsid w:val="00573977"/>
    <w:rsid w:val="00573DF1"/>
    <w:rsid w:val="00577099"/>
    <w:rsid w:val="00582D4C"/>
    <w:rsid w:val="00595DE6"/>
    <w:rsid w:val="005A0398"/>
    <w:rsid w:val="005A0FB8"/>
    <w:rsid w:val="005A3507"/>
    <w:rsid w:val="005A3A1B"/>
    <w:rsid w:val="005A5115"/>
    <w:rsid w:val="005B05F4"/>
    <w:rsid w:val="005B6B5D"/>
    <w:rsid w:val="005C2518"/>
    <w:rsid w:val="005D307F"/>
    <w:rsid w:val="005D4355"/>
    <w:rsid w:val="005D4569"/>
    <w:rsid w:val="005E02CC"/>
    <w:rsid w:val="005E3A1D"/>
    <w:rsid w:val="005E40C5"/>
    <w:rsid w:val="005F7F0C"/>
    <w:rsid w:val="00600E7C"/>
    <w:rsid w:val="0060320D"/>
    <w:rsid w:val="0060447B"/>
    <w:rsid w:val="00607629"/>
    <w:rsid w:val="00611C6A"/>
    <w:rsid w:val="00616961"/>
    <w:rsid w:val="00620874"/>
    <w:rsid w:val="0062434E"/>
    <w:rsid w:val="006254F4"/>
    <w:rsid w:val="00627FFE"/>
    <w:rsid w:val="006337FA"/>
    <w:rsid w:val="00633CE1"/>
    <w:rsid w:val="00637B7D"/>
    <w:rsid w:val="00644AC1"/>
    <w:rsid w:val="00645DB8"/>
    <w:rsid w:val="006549A8"/>
    <w:rsid w:val="00664262"/>
    <w:rsid w:val="00671A15"/>
    <w:rsid w:val="0068256F"/>
    <w:rsid w:val="00685092"/>
    <w:rsid w:val="00687984"/>
    <w:rsid w:val="006943E1"/>
    <w:rsid w:val="00694826"/>
    <w:rsid w:val="00694A31"/>
    <w:rsid w:val="006A2965"/>
    <w:rsid w:val="006B1399"/>
    <w:rsid w:val="006B1E41"/>
    <w:rsid w:val="006C2000"/>
    <w:rsid w:val="006C2290"/>
    <w:rsid w:val="006C265E"/>
    <w:rsid w:val="006D65B7"/>
    <w:rsid w:val="006E1634"/>
    <w:rsid w:val="006E2047"/>
    <w:rsid w:val="006E2951"/>
    <w:rsid w:val="006F094D"/>
    <w:rsid w:val="006F5623"/>
    <w:rsid w:val="006F56ED"/>
    <w:rsid w:val="00704189"/>
    <w:rsid w:val="0070714F"/>
    <w:rsid w:val="00713D7A"/>
    <w:rsid w:val="007140FE"/>
    <w:rsid w:val="00717028"/>
    <w:rsid w:val="00731210"/>
    <w:rsid w:val="00732F83"/>
    <w:rsid w:val="0073409D"/>
    <w:rsid w:val="00735A61"/>
    <w:rsid w:val="00741640"/>
    <w:rsid w:val="00743ADC"/>
    <w:rsid w:val="00756AB7"/>
    <w:rsid w:val="00757701"/>
    <w:rsid w:val="00762BD7"/>
    <w:rsid w:val="0077168F"/>
    <w:rsid w:val="0077310A"/>
    <w:rsid w:val="00777F1C"/>
    <w:rsid w:val="007830CA"/>
    <w:rsid w:val="007A1A1B"/>
    <w:rsid w:val="007B0D29"/>
    <w:rsid w:val="007C0B28"/>
    <w:rsid w:val="007C365C"/>
    <w:rsid w:val="007D1278"/>
    <w:rsid w:val="007D5E7B"/>
    <w:rsid w:val="007D67BB"/>
    <w:rsid w:val="007D6FC5"/>
    <w:rsid w:val="007D75F1"/>
    <w:rsid w:val="007E4F3A"/>
    <w:rsid w:val="007E6551"/>
    <w:rsid w:val="007F1054"/>
    <w:rsid w:val="007F1451"/>
    <w:rsid w:val="007F242B"/>
    <w:rsid w:val="007F6C7D"/>
    <w:rsid w:val="00800A98"/>
    <w:rsid w:val="00800C1C"/>
    <w:rsid w:val="00803EF2"/>
    <w:rsid w:val="00804FFC"/>
    <w:rsid w:val="00806FC9"/>
    <w:rsid w:val="00807B21"/>
    <w:rsid w:val="00812B9C"/>
    <w:rsid w:val="00820972"/>
    <w:rsid w:val="00825321"/>
    <w:rsid w:val="00826BA5"/>
    <w:rsid w:val="0084432B"/>
    <w:rsid w:val="0084521F"/>
    <w:rsid w:val="00845997"/>
    <w:rsid w:val="00845E30"/>
    <w:rsid w:val="00853CFA"/>
    <w:rsid w:val="008653C7"/>
    <w:rsid w:val="0087045D"/>
    <w:rsid w:val="00870DB0"/>
    <w:rsid w:val="00877B2D"/>
    <w:rsid w:val="00884AA9"/>
    <w:rsid w:val="00890EEB"/>
    <w:rsid w:val="008970F0"/>
    <w:rsid w:val="008B0F7F"/>
    <w:rsid w:val="008B373A"/>
    <w:rsid w:val="008C7D69"/>
    <w:rsid w:val="008D2F10"/>
    <w:rsid w:val="008D5A73"/>
    <w:rsid w:val="008E01B1"/>
    <w:rsid w:val="008E0303"/>
    <w:rsid w:val="008F08B1"/>
    <w:rsid w:val="008F1B6E"/>
    <w:rsid w:val="008F4C7C"/>
    <w:rsid w:val="008F5037"/>
    <w:rsid w:val="008F50A3"/>
    <w:rsid w:val="008F6D1A"/>
    <w:rsid w:val="00900F8B"/>
    <w:rsid w:val="00904DC9"/>
    <w:rsid w:val="0091111F"/>
    <w:rsid w:val="009122F2"/>
    <w:rsid w:val="00920B44"/>
    <w:rsid w:val="00925EB4"/>
    <w:rsid w:val="00927B0B"/>
    <w:rsid w:val="00932475"/>
    <w:rsid w:val="009350B6"/>
    <w:rsid w:val="00935B0E"/>
    <w:rsid w:val="00936360"/>
    <w:rsid w:val="00946DD0"/>
    <w:rsid w:val="0094728A"/>
    <w:rsid w:val="00947F2B"/>
    <w:rsid w:val="00953FB0"/>
    <w:rsid w:val="0095564F"/>
    <w:rsid w:val="00956D66"/>
    <w:rsid w:val="00964F14"/>
    <w:rsid w:val="0098042E"/>
    <w:rsid w:val="00983138"/>
    <w:rsid w:val="0098799F"/>
    <w:rsid w:val="009A21E6"/>
    <w:rsid w:val="009A2307"/>
    <w:rsid w:val="009A3F28"/>
    <w:rsid w:val="009A40E4"/>
    <w:rsid w:val="009A771D"/>
    <w:rsid w:val="009C6C39"/>
    <w:rsid w:val="009C78F6"/>
    <w:rsid w:val="009D3E9F"/>
    <w:rsid w:val="009D4AE6"/>
    <w:rsid w:val="009D651D"/>
    <w:rsid w:val="009E5C32"/>
    <w:rsid w:val="009E7334"/>
    <w:rsid w:val="009F10B9"/>
    <w:rsid w:val="009F2E93"/>
    <w:rsid w:val="009F51DC"/>
    <w:rsid w:val="009F7001"/>
    <w:rsid w:val="00A048D8"/>
    <w:rsid w:val="00A13007"/>
    <w:rsid w:val="00A22BB6"/>
    <w:rsid w:val="00A24A6F"/>
    <w:rsid w:val="00A273A4"/>
    <w:rsid w:val="00A31E7B"/>
    <w:rsid w:val="00A350E9"/>
    <w:rsid w:val="00A43F03"/>
    <w:rsid w:val="00A55774"/>
    <w:rsid w:val="00A57AFC"/>
    <w:rsid w:val="00A61464"/>
    <w:rsid w:val="00A62AB2"/>
    <w:rsid w:val="00A70A43"/>
    <w:rsid w:val="00A710FA"/>
    <w:rsid w:val="00A77E3D"/>
    <w:rsid w:val="00A80B6D"/>
    <w:rsid w:val="00A8140C"/>
    <w:rsid w:val="00A821FE"/>
    <w:rsid w:val="00A923E7"/>
    <w:rsid w:val="00A9532F"/>
    <w:rsid w:val="00A97DCF"/>
    <w:rsid w:val="00AA14FE"/>
    <w:rsid w:val="00AA6162"/>
    <w:rsid w:val="00AB14B0"/>
    <w:rsid w:val="00AB3E12"/>
    <w:rsid w:val="00AB5A88"/>
    <w:rsid w:val="00AC1DF0"/>
    <w:rsid w:val="00AC3849"/>
    <w:rsid w:val="00AE0CCA"/>
    <w:rsid w:val="00AE2F76"/>
    <w:rsid w:val="00AE40CF"/>
    <w:rsid w:val="00AE6432"/>
    <w:rsid w:val="00AE7678"/>
    <w:rsid w:val="00AF6540"/>
    <w:rsid w:val="00B01CBD"/>
    <w:rsid w:val="00B02D83"/>
    <w:rsid w:val="00B07A2F"/>
    <w:rsid w:val="00B13AB0"/>
    <w:rsid w:val="00B14B26"/>
    <w:rsid w:val="00B2498B"/>
    <w:rsid w:val="00B3793D"/>
    <w:rsid w:val="00B400C5"/>
    <w:rsid w:val="00B419FF"/>
    <w:rsid w:val="00B41C44"/>
    <w:rsid w:val="00B44675"/>
    <w:rsid w:val="00B5587E"/>
    <w:rsid w:val="00B66261"/>
    <w:rsid w:val="00B74573"/>
    <w:rsid w:val="00B7461C"/>
    <w:rsid w:val="00B746B0"/>
    <w:rsid w:val="00B746E6"/>
    <w:rsid w:val="00B76BA3"/>
    <w:rsid w:val="00B85066"/>
    <w:rsid w:val="00B860CC"/>
    <w:rsid w:val="00B863DE"/>
    <w:rsid w:val="00B939DE"/>
    <w:rsid w:val="00B94774"/>
    <w:rsid w:val="00B968F0"/>
    <w:rsid w:val="00BA12D3"/>
    <w:rsid w:val="00BA6A48"/>
    <w:rsid w:val="00BA7808"/>
    <w:rsid w:val="00BB13B6"/>
    <w:rsid w:val="00BB245D"/>
    <w:rsid w:val="00BD3C1C"/>
    <w:rsid w:val="00BD54FC"/>
    <w:rsid w:val="00BD5D0A"/>
    <w:rsid w:val="00BE4A76"/>
    <w:rsid w:val="00BE5890"/>
    <w:rsid w:val="00BF6FE1"/>
    <w:rsid w:val="00C212AC"/>
    <w:rsid w:val="00C22295"/>
    <w:rsid w:val="00C22C31"/>
    <w:rsid w:val="00C26818"/>
    <w:rsid w:val="00C30D62"/>
    <w:rsid w:val="00C30E40"/>
    <w:rsid w:val="00C31420"/>
    <w:rsid w:val="00C32F44"/>
    <w:rsid w:val="00C3673B"/>
    <w:rsid w:val="00C36F35"/>
    <w:rsid w:val="00C60D7D"/>
    <w:rsid w:val="00C62CA6"/>
    <w:rsid w:val="00C62EA9"/>
    <w:rsid w:val="00C658C4"/>
    <w:rsid w:val="00C65F4F"/>
    <w:rsid w:val="00C66E56"/>
    <w:rsid w:val="00C75089"/>
    <w:rsid w:val="00C75FA3"/>
    <w:rsid w:val="00C76AE2"/>
    <w:rsid w:val="00C8081B"/>
    <w:rsid w:val="00C81D72"/>
    <w:rsid w:val="00C83E32"/>
    <w:rsid w:val="00C85B30"/>
    <w:rsid w:val="00CA0969"/>
    <w:rsid w:val="00CA3724"/>
    <w:rsid w:val="00CA3A16"/>
    <w:rsid w:val="00CA6380"/>
    <w:rsid w:val="00CB7D88"/>
    <w:rsid w:val="00CC025F"/>
    <w:rsid w:val="00CC2137"/>
    <w:rsid w:val="00CC25C7"/>
    <w:rsid w:val="00CC7CB7"/>
    <w:rsid w:val="00CD24A1"/>
    <w:rsid w:val="00CD2AB0"/>
    <w:rsid w:val="00CD2BAB"/>
    <w:rsid w:val="00CD6D66"/>
    <w:rsid w:val="00CD76A8"/>
    <w:rsid w:val="00CF1A68"/>
    <w:rsid w:val="00CF41BA"/>
    <w:rsid w:val="00D00244"/>
    <w:rsid w:val="00D04979"/>
    <w:rsid w:val="00D12BEF"/>
    <w:rsid w:val="00D12FD0"/>
    <w:rsid w:val="00D16F77"/>
    <w:rsid w:val="00D16FCC"/>
    <w:rsid w:val="00D23FD0"/>
    <w:rsid w:val="00D255D6"/>
    <w:rsid w:val="00D42F84"/>
    <w:rsid w:val="00D442EA"/>
    <w:rsid w:val="00D50BBB"/>
    <w:rsid w:val="00D62501"/>
    <w:rsid w:val="00D63623"/>
    <w:rsid w:val="00D64ECB"/>
    <w:rsid w:val="00D70351"/>
    <w:rsid w:val="00D75FA7"/>
    <w:rsid w:val="00D77680"/>
    <w:rsid w:val="00D8147F"/>
    <w:rsid w:val="00D9049E"/>
    <w:rsid w:val="00D92036"/>
    <w:rsid w:val="00D926C8"/>
    <w:rsid w:val="00D9628B"/>
    <w:rsid w:val="00DA2CBC"/>
    <w:rsid w:val="00DA380D"/>
    <w:rsid w:val="00DA783E"/>
    <w:rsid w:val="00DB656B"/>
    <w:rsid w:val="00DC15AF"/>
    <w:rsid w:val="00DC2F8A"/>
    <w:rsid w:val="00DC6919"/>
    <w:rsid w:val="00DC6B17"/>
    <w:rsid w:val="00DD0CE8"/>
    <w:rsid w:val="00DE0201"/>
    <w:rsid w:val="00DE1D94"/>
    <w:rsid w:val="00DF76E4"/>
    <w:rsid w:val="00E014A1"/>
    <w:rsid w:val="00E14F2F"/>
    <w:rsid w:val="00E46F85"/>
    <w:rsid w:val="00E51AF8"/>
    <w:rsid w:val="00E54C92"/>
    <w:rsid w:val="00E6138B"/>
    <w:rsid w:val="00E61DB9"/>
    <w:rsid w:val="00E632B7"/>
    <w:rsid w:val="00E64422"/>
    <w:rsid w:val="00E64A43"/>
    <w:rsid w:val="00E678C7"/>
    <w:rsid w:val="00E75BCC"/>
    <w:rsid w:val="00E90F00"/>
    <w:rsid w:val="00E92CEF"/>
    <w:rsid w:val="00E95A00"/>
    <w:rsid w:val="00E979B7"/>
    <w:rsid w:val="00EA5F53"/>
    <w:rsid w:val="00EB2504"/>
    <w:rsid w:val="00EB4B87"/>
    <w:rsid w:val="00EE2AC0"/>
    <w:rsid w:val="00EF0176"/>
    <w:rsid w:val="00EF21C5"/>
    <w:rsid w:val="00EF3BA9"/>
    <w:rsid w:val="00EF6258"/>
    <w:rsid w:val="00EF6423"/>
    <w:rsid w:val="00EF6D5B"/>
    <w:rsid w:val="00F01C67"/>
    <w:rsid w:val="00F06A82"/>
    <w:rsid w:val="00F1397B"/>
    <w:rsid w:val="00F20BB9"/>
    <w:rsid w:val="00F234D1"/>
    <w:rsid w:val="00F236D6"/>
    <w:rsid w:val="00F240CD"/>
    <w:rsid w:val="00F26DD2"/>
    <w:rsid w:val="00F3651F"/>
    <w:rsid w:val="00F44F67"/>
    <w:rsid w:val="00F46B5C"/>
    <w:rsid w:val="00F55506"/>
    <w:rsid w:val="00F55C43"/>
    <w:rsid w:val="00F62E08"/>
    <w:rsid w:val="00F70F9E"/>
    <w:rsid w:val="00F72980"/>
    <w:rsid w:val="00F774F9"/>
    <w:rsid w:val="00F832D6"/>
    <w:rsid w:val="00F864A9"/>
    <w:rsid w:val="00FA1DBF"/>
    <w:rsid w:val="00FA78ED"/>
    <w:rsid w:val="00FB2D58"/>
    <w:rsid w:val="00FC0223"/>
    <w:rsid w:val="00FC4FD3"/>
    <w:rsid w:val="00FC5172"/>
    <w:rsid w:val="00FC5623"/>
    <w:rsid w:val="00FD3AAF"/>
    <w:rsid w:val="00FD419F"/>
    <w:rsid w:val="00FD7BA3"/>
    <w:rsid w:val="00FE05CD"/>
    <w:rsid w:val="00FE408F"/>
    <w:rsid w:val="00FE55F3"/>
    <w:rsid w:val="00FE7159"/>
    <w:rsid w:val="00FF0B4C"/>
    <w:rsid w:val="00FF6A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2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633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935</Words>
  <Characters>5333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2021-07-30T08:47:00Z</dcterms:created>
  <dcterms:modified xsi:type="dcterms:W3CDTF">2021-07-30T08:47:00Z</dcterms:modified>
</cp:coreProperties>
</file>